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68" w:rsidRDefault="00253768" w:rsidP="00253768">
      <w:pPr>
        <w:pStyle w:val="ConsPlusNormal"/>
        <w:jc w:val="right"/>
        <w:outlineLvl w:val="0"/>
      </w:pPr>
      <w:r>
        <w:t>Приложение 5</w:t>
      </w:r>
    </w:p>
    <w:p w:rsidR="00253768" w:rsidRDefault="00253768" w:rsidP="00253768">
      <w:pPr>
        <w:pStyle w:val="ConsPlusNormal"/>
        <w:jc w:val="right"/>
      </w:pPr>
      <w:r>
        <w:t>к Закону Забайкальского края</w:t>
      </w:r>
    </w:p>
    <w:p w:rsidR="00253768" w:rsidRDefault="00253768" w:rsidP="00253768">
      <w:pPr>
        <w:pStyle w:val="ConsPlusNormal"/>
        <w:jc w:val="right"/>
      </w:pPr>
      <w:r>
        <w:t>"О бюджете Забайкальского края на 2024 год</w:t>
      </w:r>
    </w:p>
    <w:p w:rsidR="00253768" w:rsidRDefault="00253768" w:rsidP="00253768">
      <w:pPr>
        <w:pStyle w:val="ConsPlusNormal"/>
        <w:jc w:val="right"/>
      </w:pPr>
      <w:r>
        <w:t>и плановый период 2025 и 2026 годов"</w:t>
      </w:r>
    </w:p>
    <w:p w:rsidR="00253768" w:rsidRDefault="00253768" w:rsidP="00253768">
      <w:pPr>
        <w:pStyle w:val="ConsPlusNormal"/>
        <w:jc w:val="both"/>
      </w:pPr>
    </w:p>
    <w:p w:rsidR="00253768" w:rsidRDefault="00253768" w:rsidP="00253768">
      <w:pPr>
        <w:pStyle w:val="ConsPlusTitle"/>
        <w:jc w:val="center"/>
      </w:pPr>
      <w:bookmarkStart w:id="0" w:name="P2473"/>
      <w:bookmarkEnd w:id="0"/>
      <w:r>
        <w:t>ДОПОЛНИТЕЛЬНЫЕ НОРМАТИВЫ ОТЧИСЛЕНИЙ ОТ НАЛОГА НА ДОХОДЫ</w:t>
      </w:r>
    </w:p>
    <w:p w:rsidR="00253768" w:rsidRDefault="00253768" w:rsidP="00253768">
      <w:pPr>
        <w:pStyle w:val="ConsPlusTitle"/>
        <w:jc w:val="center"/>
      </w:pPr>
      <w:r>
        <w:t>ФИЗИЧЕСКИХ ЛИЦ, ЗА ИСКЛЮЧЕНИЕМ НАЛОГА НА ДОХОДЫ ФИЗИЧЕСКИХ</w:t>
      </w:r>
    </w:p>
    <w:p w:rsidR="00253768" w:rsidRDefault="00253768" w:rsidP="00253768">
      <w:pPr>
        <w:pStyle w:val="ConsPlusTitle"/>
        <w:jc w:val="center"/>
      </w:pPr>
      <w:r>
        <w:t xml:space="preserve">ЛИЦ, </w:t>
      </w:r>
      <w:proofErr w:type="gramStart"/>
      <w:r>
        <w:t>УПЛАЧИВАЕМОГО</w:t>
      </w:r>
      <w:proofErr w:type="gramEnd"/>
      <w:r>
        <w:t xml:space="preserve"> ИНОСТРАННЫМИ ГРАЖДАНАМИ В ВИДЕ</w:t>
      </w:r>
    </w:p>
    <w:p w:rsidR="00253768" w:rsidRDefault="00253768" w:rsidP="00253768">
      <w:pPr>
        <w:pStyle w:val="ConsPlusTitle"/>
        <w:jc w:val="center"/>
      </w:pPr>
      <w:r>
        <w:t>ФИКСИРОВАННОГО АВАНСОВОГО ПЛАТЕЖА ПРИ ОСУЩЕСТВЛЕНИИ ИМИ</w:t>
      </w:r>
    </w:p>
    <w:p w:rsidR="00253768" w:rsidRDefault="00253768" w:rsidP="00253768">
      <w:pPr>
        <w:pStyle w:val="ConsPlusTitle"/>
        <w:jc w:val="center"/>
      </w:pPr>
      <w:r>
        <w:t>НА ТЕРРИТОРИИ РОССИЙСКОЙ ФЕДЕРАЦИИ ТРУДОВОЙ ДЕЯТЕЛЬНОСТИ</w:t>
      </w:r>
    </w:p>
    <w:p w:rsidR="00253768" w:rsidRDefault="00253768" w:rsidP="00253768">
      <w:pPr>
        <w:pStyle w:val="ConsPlusTitle"/>
        <w:jc w:val="center"/>
      </w:pPr>
      <w:r>
        <w:t>НА ОСНОВАНИИ ПАТЕНТА, И НАЛОГА НА ДОХОДЫ ФИЗИЧЕСКИХ ЛИЦ</w:t>
      </w:r>
    </w:p>
    <w:p w:rsidR="00253768" w:rsidRDefault="00253768" w:rsidP="00253768">
      <w:pPr>
        <w:pStyle w:val="ConsPlusTitle"/>
        <w:jc w:val="center"/>
      </w:pPr>
      <w:r>
        <w:t>В ЧАСТИ СУММЫ НАЛОГА, ПРЕВЫШАЮЩЕЙ 650 ТЫСЯЧ РУБЛЕЙ,</w:t>
      </w:r>
    </w:p>
    <w:p w:rsidR="00253768" w:rsidRDefault="00253768" w:rsidP="00253768">
      <w:pPr>
        <w:pStyle w:val="ConsPlusTitle"/>
        <w:jc w:val="center"/>
      </w:pPr>
      <w:r>
        <w:t>ОТНОСЯЩЕЙСЯ К ЧАСТИ НАЛОГОВОЙ БАЗЫ, ПРЕВЫШАЮЩЕЙ 5 МИЛЛИОНОВ</w:t>
      </w:r>
    </w:p>
    <w:p w:rsidR="00253768" w:rsidRDefault="00253768" w:rsidP="00253768">
      <w:pPr>
        <w:pStyle w:val="ConsPlusTitle"/>
        <w:jc w:val="center"/>
      </w:pPr>
      <w:r>
        <w:t>РУБЛЕЙ, В БЮДЖЕТЫ МУНИЦИПАЛЬНЫХ РАЙОНОВ, МУНИЦИПАЛЬНЫХ</w:t>
      </w:r>
    </w:p>
    <w:p w:rsidR="00253768" w:rsidRDefault="00253768" w:rsidP="00253768">
      <w:pPr>
        <w:pStyle w:val="ConsPlusTitle"/>
        <w:jc w:val="center"/>
      </w:pPr>
      <w:r>
        <w:t xml:space="preserve">ОКРУГОВ, ГОРОДСКИХ ОКРУГОВ, </w:t>
      </w:r>
      <w:proofErr w:type="gramStart"/>
      <w:r>
        <w:t>ЗАМЕНЯЮЩИЕ</w:t>
      </w:r>
      <w:proofErr w:type="gramEnd"/>
      <w:r>
        <w:t xml:space="preserve"> ЧАСТЬ ДОТАЦИЙ</w:t>
      </w:r>
    </w:p>
    <w:p w:rsidR="00253768" w:rsidRDefault="00253768" w:rsidP="00253768">
      <w:pPr>
        <w:pStyle w:val="ConsPlusTitle"/>
        <w:jc w:val="center"/>
      </w:pPr>
      <w:r>
        <w:t xml:space="preserve">НА ВЫРАВНИВАНИЕ БЮДЖЕТНОЙ ОБЕСПЕЧЕННОСТИ </w:t>
      </w:r>
      <w:proofErr w:type="gramStart"/>
      <w:r>
        <w:t>МУНИЦИПАЛЬНЫХ</w:t>
      </w:r>
      <w:proofErr w:type="gramEnd"/>
    </w:p>
    <w:p w:rsidR="00253768" w:rsidRDefault="00253768" w:rsidP="00253768">
      <w:pPr>
        <w:pStyle w:val="ConsPlusTitle"/>
        <w:jc w:val="center"/>
      </w:pPr>
      <w:r>
        <w:t>РАЙОНОВ, МУНИЦИПАЛЬНЫХ ОКРУГОВ, ГОРОДСКИХ ОКРУГОВ,</w:t>
      </w:r>
    </w:p>
    <w:p w:rsidR="00253768" w:rsidRDefault="00253768" w:rsidP="00253768">
      <w:pPr>
        <w:pStyle w:val="ConsPlusTitle"/>
        <w:jc w:val="center"/>
      </w:pPr>
      <w:r>
        <w:t>НА ПЛАНОВЫЙ ПЕРИОД 2025</w:t>
      </w:r>
      <w:proofErr w:type="gramStart"/>
      <w:r>
        <w:t xml:space="preserve"> И</w:t>
      </w:r>
      <w:proofErr w:type="gramEnd"/>
      <w:r>
        <w:t xml:space="preserve"> 2026 ГОДОВ</w:t>
      </w:r>
    </w:p>
    <w:p w:rsidR="00253768" w:rsidRDefault="00253768" w:rsidP="0025376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9"/>
        <w:gridCol w:w="4989"/>
        <w:gridCol w:w="1644"/>
        <w:gridCol w:w="1757"/>
      </w:tblGrid>
      <w:tr w:rsidR="00253768" w:rsidTr="00056351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68" w:rsidRDefault="00253768" w:rsidP="0005635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68" w:rsidRDefault="00253768" w:rsidP="00056351">
            <w:pPr>
              <w:pStyle w:val="ConsPlusNormal"/>
              <w:jc w:val="center"/>
            </w:pPr>
            <w:r>
              <w:t>Наименование муниципальных районов, муниципальных округов, городских округов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68" w:rsidRDefault="00253768" w:rsidP="00056351">
            <w:pPr>
              <w:pStyle w:val="ConsPlusNormal"/>
              <w:jc w:val="center"/>
            </w:pPr>
            <w:r>
              <w:t>Дополнительные нормативы отчислений от налога на доходы физических лиц (в процентах)</w:t>
            </w:r>
          </w:p>
        </w:tc>
      </w:tr>
      <w:tr w:rsidR="00253768" w:rsidTr="00056351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53768" w:rsidRDefault="00253768" w:rsidP="00056351">
            <w:pPr>
              <w:pStyle w:val="ConsPlusNormal"/>
            </w:pPr>
          </w:p>
        </w:tc>
        <w:tc>
          <w:tcPr>
            <w:tcW w:w="498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253768" w:rsidRDefault="00253768" w:rsidP="00056351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68" w:rsidRDefault="00253768" w:rsidP="00056351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68" w:rsidRDefault="00253768" w:rsidP="00056351">
            <w:pPr>
              <w:pStyle w:val="ConsPlusNormal"/>
              <w:jc w:val="center"/>
            </w:pPr>
            <w:r>
              <w:t>2026 год</w:t>
            </w:r>
          </w:p>
        </w:tc>
      </w:tr>
      <w:tr w:rsidR="00253768" w:rsidTr="00056351">
        <w:tc>
          <w:tcPr>
            <w:tcW w:w="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68" w:rsidRDefault="00253768" w:rsidP="0005635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68" w:rsidRDefault="00253768" w:rsidP="0005635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68" w:rsidRDefault="00253768" w:rsidP="0005635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768" w:rsidRDefault="00253768" w:rsidP="00056351">
            <w:pPr>
              <w:pStyle w:val="ConsPlusNormal"/>
              <w:jc w:val="center"/>
            </w:pPr>
            <w:r>
              <w:t>4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"Агинский район"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85,0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"Балейский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46,9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47,5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"Борзинский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19,6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19,8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"Дульдургинский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85,0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8,5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7,9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"Карымский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14,2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12,9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"Город Краснокаменск и Краснокаменский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10,2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10,7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"Красночикойский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55,0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51,7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"Кыринский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43,0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43,0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"Могойтуйский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85,0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"Нерчинский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53,2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53,6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"Оловяннинский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39,0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39,0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"Петровск-Забайкальский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53,4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55,6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"Сретенский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51,9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52,2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"Тунгиро-Олекминский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85,0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"Улетовский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72,2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70,8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"Хилокский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27,7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27,0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"Чернышевский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21,3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 xml:space="preserve">Муниципальный район "Читинский </w:t>
            </w:r>
            <w:r>
              <w:lastRenderedPageBreak/>
              <w:t>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lastRenderedPageBreak/>
              <w:t>28,2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29,4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"Шелопугинский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85,0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85,0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Муниципальный район "Шилкинский район"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32,0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31,1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Акшинский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80,0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Александрово-Заводский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50,4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50,4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Газимуро-Заводский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4,9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4,7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Каларский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2,5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Калганский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29,0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Могочинский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2,0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Нерчинско-Заводский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65,0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65,0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Ононский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80,0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Приаргунский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54,4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52,5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31.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Тунгокоченский муниципальный округ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80,0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80,0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 xml:space="preserve">Городской округ "Поселок </w:t>
            </w:r>
            <w:proofErr w:type="gramStart"/>
            <w:r>
              <w:t>Агинское</w:t>
            </w:r>
            <w:proofErr w:type="gramEnd"/>
            <w:r>
              <w:t>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49,3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47,8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Городской округ "Город Петровск-Забайкальский"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39,6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39,2</w:t>
            </w:r>
          </w:p>
        </w:tc>
      </w:tr>
      <w:tr w:rsidR="00253768" w:rsidTr="0005635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</w:pPr>
            <w:r>
              <w:t>Городской округ закрытое административно-территориальное образование п. Горный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21,6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253768" w:rsidRDefault="00253768" w:rsidP="00056351">
            <w:pPr>
              <w:pStyle w:val="ConsPlusNormal"/>
              <w:jc w:val="center"/>
            </w:pPr>
            <w:r>
              <w:t>26,0</w:t>
            </w:r>
          </w:p>
        </w:tc>
      </w:tr>
    </w:tbl>
    <w:p w:rsidR="00253768" w:rsidRDefault="00253768" w:rsidP="00253768">
      <w:pPr>
        <w:pStyle w:val="ConsPlusNormal"/>
        <w:jc w:val="both"/>
      </w:pPr>
    </w:p>
    <w:p w:rsidR="00253768" w:rsidRDefault="00253768" w:rsidP="00253768">
      <w:pPr>
        <w:pStyle w:val="ConsPlusNormal"/>
        <w:jc w:val="both"/>
      </w:pPr>
    </w:p>
    <w:p w:rsidR="00253768" w:rsidRDefault="00253768" w:rsidP="00253768">
      <w:pPr>
        <w:pStyle w:val="ConsPlusNormal"/>
        <w:jc w:val="both"/>
      </w:pPr>
    </w:p>
    <w:p w:rsidR="00253768" w:rsidRDefault="00253768" w:rsidP="00253768">
      <w:pPr>
        <w:pStyle w:val="ConsPlusNormal"/>
        <w:jc w:val="both"/>
      </w:pPr>
    </w:p>
    <w:p w:rsidR="00253768" w:rsidRDefault="00253768" w:rsidP="00253768">
      <w:pPr>
        <w:pStyle w:val="ConsPlusNormal"/>
        <w:jc w:val="both"/>
      </w:pPr>
    </w:p>
    <w:p w:rsidR="001953BC" w:rsidRPr="00253768" w:rsidRDefault="001953BC" w:rsidP="00253768"/>
    <w:sectPr w:rsidR="001953BC" w:rsidRPr="00253768" w:rsidSect="00B77897">
      <w:pgSz w:w="11950" w:h="16901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299"/>
  <w:displayHorizontalDrawingGridEvery w:val="0"/>
  <w:characterSpacingControl w:val="doNotCompress"/>
  <w:compat/>
  <w:rsids>
    <w:rsidRoot w:val="00B5651E"/>
    <w:rsid w:val="00045D2C"/>
    <w:rsid w:val="000E55A3"/>
    <w:rsid w:val="00113320"/>
    <w:rsid w:val="00117C26"/>
    <w:rsid w:val="001953BC"/>
    <w:rsid w:val="0024787E"/>
    <w:rsid w:val="00252D79"/>
    <w:rsid w:val="00253768"/>
    <w:rsid w:val="00273214"/>
    <w:rsid w:val="00337146"/>
    <w:rsid w:val="00434A10"/>
    <w:rsid w:val="004E574D"/>
    <w:rsid w:val="006E53CE"/>
    <w:rsid w:val="007B75A6"/>
    <w:rsid w:val="00947880"/>
    <w:rsid w:val="009D1075"/>
    <w:rsid w:val="009E78DB"/>
    <w:rsid w:val="00B5651E"/>
    <w:rsid w:val="00B715D2"/>
    <w:rsid w:val="00B77897"/>
    <w:rsid w:val="00B853CE"/>
    <w:rsid w:val="00CC4EEF"/>
    <w:rsid w:val="00D852F1"/>
    <w:rsid w:val="00D96B23"/>
    <w:rsid w:val="00DE69C8"/>
    <w:rsid w:val="00DF6CEA"/>
    <w:rsid w:val="00E11787"/>
    <w:rsid w:val="00E91483"/>
    <w:rsid w:val="00EA7D62"/>
    <w:rsid w:val="00FC4FD4"/>
    <w:rsid w:val="00FD5E50"/>
    <w:rsid w:val="00FE0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Title">
    <w:name w:val="ConsPlusTitle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Cell">
    <w:name w:val="ConsPlusCell"/>
    <w:rsid w:val="00B5651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B5651E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B5651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B5651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2024-12-09T08:42:00Z</dcterms:created>
  <dcterms:modified xsi:type="dcterms:W3CDTF">2024-12-09T08:42:00Z</dcterms:modified>
</cp:coreProperties>
</file>